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ADVICE</w:t>
      </w:r>
    </w:p>
    <w:p w:rsidR="00000000" w:rsidDel="00000000" w:rsidP="00000000" w:rsidRDefault="00000000" w:rsidRPr="00000000" w14:paraId="0000000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payer who is a legal entity or an individual operating a business shall pay the TV licence fee as a multiple determined by the converted number of employees (full-time equivalent) employed under an employment relationship:</w:t>
      </w:r>
    </w:p>
    <w:p w:rsidR="00000000" w:rsidDel="00000000" w:rsidP="00000000" w:rsidRDefault="00000000" w:rsidRPr="00000000" w14:paraId="00000004">
      <w:pPr>
        <w:jc w:val="both"/>
        <w:rPr>
          <w:rFonts w:ascii="Verdana" w:cs="Verdana" w:eastAsia="Verdana" w:hAnsi="Verdana"/>
          <w:sz w:val="16"/>
          <w:szCs w:val="16"/>
        </w:rPr>
      </w:pPr>
      <w:r w:rsidDel="00000000" w:rsidR="00000000" w:rsidRPr="00000000">
        <w:rPr>
          <w:rtl w:val="0"/>
        </w:rPr>
      </w:r>
    </w:p>
    <w:tbl>
      <w:tblPr>
        <w:tblStyle w:val="Table1"/>
        <w:tblW w:w="4750.0" w:type="dxa"/>
        <w:jc w:val="left"/>
        <w:tblLayout w:type="fixed"/>
        <w:tblLook w:val="0400"/>
      </w:tblPr>
      <w:tblGrid>
        <w:gridCol w:w="2299"/>
        <w:gridCol w:w="2451"/>
        <w:tblGridChange w:id="0">
          <w:tblGrid>
            <w:gridCol w:w="2299"/>
            <w:gridCol w:w="2451"/>
          </w:tblGrid>
        </w:tblGridChange>
      </w:tblGrid>
      <w:tr>
        <w:trPr>
          <w:cantSplit w:val="0"/>
          <w:trHeight w:val="300" w:hRule="atLeast"/>
          <w:tblHeader w:val="0"/>
        </w:trPr>
        <w:tc>
          <w:tcPr>
            <w:shd w:fill="ffffff" w:val="clear"/>
            <w:vAlign w:val="center"/>
          </w:tcPr>
          <w:p w:rsidR="00000000" w:rsidDel="00000000" w:rsidP="00000000" w:rsidRDefault="00000000" w:rsidRPr="00000000" w14:paraId="00000005">
            <w:pPr>
              <w:rPr>
                <w:color w:val="000000"/>
                <w:sz w:val="18"/>
                <w:szCs w:val="18"/>
                <w:u w:val="single"/>
              </w:rPr>
            </w:pPr>
            <w:r w:rsidDel="00000000" w:rsidR="00000000" w:rsidRPr="00000000">
              <w:rPr>
                <w:color w:val="000000"/>
                <w:sz w:val="16"/>
                <w:szCs w:val="16"/>
                <w:u w:val="single"/>
                <w:rtl w:val="0"/>
              </w:rPr>
              <w:t xml:space="preserve">Number of employees</w:t>
            </w:r>
            <w:r w:rsidDel="00000000" w:rsidR="00000000" w:rsidRPr="00000000">
              <w:rPr>
                <w:rtl w:val="0"/>
              </w:rPr>
            </w:r>
          </w:p>
        </w:tc>
        <w:tc>
          <w:tcPr>
            <w:shd w:fill="ffffff" w:val="clear"/>
            <w:vAlign w:val="center"/>
          </w:tcPr>
          <w:p w:rsidR="00000000" w:rsidDel="00000000" w:rsidP="00000000" w:rsidRDefault="00000000" w:rsidRPr="00000000" w14:paraId="00000006">
            <w:pPr>
              <w:rPr>
                <w:sz w:val="16"/>
                <w:szCs w:val="16"/>
                <w:u w:val="single"/>
              </w:rPr>
            </w:pPr>
            <w:r w:rsidDel="00000000" w:rsidR="00000000" w:rsidRPr="00000000">
              <w:rPr>
                <w:sz w:val="16"/>
                <w:szCs w:val="16"/>
                <w:u w:val="single"/>
                <w:rtl w:val="0"/>
              </w:rPr>
              <w:t xml:space="preserve">Fee multiple</w:t>
            </w:r>
          </w:p>
        </w:tc>
      </w:tr>
      <w:tr>
        <w:trPr>
          <w:cantSplit w:val="0"/>
          <w:trHeight w:val="300" w:hRule="atLeast"/>
          <w:tblHeader w:val="0"/>
        </w:trPr>
        <w:tc>
          <w:tcPr>
            <w:shd w:fill="ffffff" w:val="clear"/>
            <w:vAlign w:val="center"/>
          </w:tcPr>
          <w:p w:rsidR="00000000" w:rsidDel="00000000" w:rsidP="00000000" w:rsidRDefault="00000000" w:rsidRPr="00000000" w14:paraId="00000007">
            <w:pPr>
              <w:rPr>
                <w:color w:val="000000"/>
                <w:sz w:val="18"/>
                <w:szCs w:val="18"/>
              </w:rPr>
            </w:pPr>
            <w:r w:rsidDel="00000000" w:rsidR="00000000" w:rsidRPr="00000000">
              <w:rPr>
                <w:color w:val="000000"/>
                <w:sz w:val="18"/>
                <w:szCs w:val="18"/>
                <w:rtl w:val="0"/>
              </w:rPr>
              <w:t xml:space="preserve">0-24</w:t>
            </w:r>
          </w:p>
        </w:tc>
        <w:tc>
          <w:tcPr>
            <w:shd w:fill="ffffff" w:val="clear"/>
            <w:vAlign w:val="center"/>
          </w:tcPr>
          <w:p w:rsidR="00000000" w:rsidDel="00000000" w:rsidP="00000000" w:rsidRDefault="00000000" w:rsidRPr="00000000" w14:paraId="00000008">
            <w:pPr>
              <w:rPr>
                <w:sz w:val="16"/>
                <w:szCs w:val="16"/>
              </w:rPr>
            </w:pPr>
            <w:r w:rsidDel="00000000" w:rsidR="00000000" w:rsidRPr="00000000">
              <w:rPr>
                <w:sz w:val="16"/>
                <w:szCs w:val="16"/>
                <w:rtl w:val="0"/>
              </w:rPr>
              <w:t xml:space="preserve">0</w:t>
            </w:r>
          </w:p>
        </w:tc>
      </w:tr>
      <w:tr>
        <w:trPr>
          <w:cantSplit w:val="0"/>
          <w:trHeight w:val="300" w:hRule="atLeast"/>
          <w:tblHeader w:val="0"/>
        </w:trPr>
        <w:tc>
          <w:tcPr>
            <w:shd w:fill="ffffff" w:val="clear"/>
            <w:vAlign w:val="center"/>
          </w:tcPr>
          <w:p w:rsidR="00000000" w:rsidDel="00000000" w:rsidP="00000000" w:rsidRDefault="00000000" w:rsidRPr="00000000" w14:paraId="00000009">
            <w:pPr>
              <w:rPr>
                <w:color w:val="000000"/>
                <w:sz w:val="18"/>
                <w:szCs w:val="18"/>
              </w:rPr>
            </w:pPr>
            <w:r w:rsidDel="00000000" w:rsidR="00000000" w:rsidRPr="00000000">
              <w:rPr>
                <w:color w:val="000000"/>
                <w:sz w:val="18"/>
                <w:szCs w:val="18"/>
                <w:rtl w:val="0"/>
              </w:rPr>
              <w:t xml:space="preserve">25-49</w:t>
            </w:r>
          </w:p>
        </w:tc>
        <w:tc>
          <w:tcPr>
            <w:shd w:fill="ffffff" w:val="clear"/>
            <w:vAlign w:val="center"/>
          </w:tcPr>
          <w:p w:rsidR="00000000" w:rsidDel="00000000" w:rsidP="00000000" w:rsidRDefault="00000000" w:rsidRPr="00000000" w14:paraId="0000000A">
            <w:pPr>
              <w:rPr>
                <w:sz w:val="16"/>
                <w:szCs w:val="16"/>
              </w:rPr>
            </w:pPr>
            <w:r w:rsidDel="00000000" w:rsidR="00000000" w:rsidRPr="00000000">
              <w:rPr>
                <w:sz w:val="16"/>
                <w:szCs w:val="16"/>
                <w:rtl w:val="0"/>
              </w:rPr>
              <w:t xml:space="preserve">5</w:t>
            </w:r>
          </w:p>
        </w:tc>
      </w:tr>
      <w:tr>
        <w:trPr>
          <w:cantSplit w:val="0"/>
          <w:trHeight w:val="300" w:hRule="atLeast"/>
          <w:tblHeader w:val="0"/>
        </w:trPr>
        <w:tc>
          <w:tcPr>
            <w:shd w:fill="ffffff" w:val="clear"/>
            <w:vAlign w:val="center"/>
          </w:tcPr>
          <w:p w:rsidR="00000000" w:rsidDel="00000000" w:rsidP="00000000" w:rsidRDefault="00000000" w:rsidRPr="00000000" w14:paraId="0000000B">
            <w:pPr>
              <w:rPr>
                <w:color w:val="000000"/>
                <w:sz w:val="18"/>
                <w:szCs w:val="18"/>
              </w:rPr>
            </w:pPr>
            <w:r w:rsidDel="00000000" w:rsidR="00000000" w:rsidRPr="00000000">
              <w:rPr>
                <w:color w:val="000000"/>
                <w:sz w:val="18"/>
                <w:szCs w:val="18"/>
                <w:rtl w:val="0"/>
              </w:rPr>
              <w:t xml:space="preserve">50-99</w:t>
            </w:r>
          </w:p>
        </w:tc>
        <w:tc>
          <w:tcPr>
            <w:shd w:fill="ffffff" w:val="clear"/>
            <w:vAlign w:val="center"/>
          </w:tcPr>
          <w:p w:rsidR="00000000" w:rsidDel="00000000" w:rsidP="00000000" w:rsidRDefault="00000000" w:rsidRPr="00000000" w14:paraId="0000000C">
            <w:pPr>
              <w:rPr>
                <w:sz w:val="16"/>
                <w:szCs w:val="16"/>
              </w:rPr>
            </w:pPr>
            <w:r w:rsidDel="00000000" w:rsidR="00000000" w:rsidRPr="00000000">
              <w:rPr>
                <w:sz w:val="16"/>
                <w:szCs w:val="16"/>
                <w:rtl w:val="0"/>
              </w:rPr>
              <w:t xml:space="preserve">10</w:t>
            </w:r>
          </w:p>
        </w:tc>
      </w:tr>
      <w:tr>
        <w:trPr>
          <w:cantSplit w:val="0"/>
          <w:trHeight w:val="300" w:hRule="atLeast"/>
          <w:tblHeader w:val="0"/>
        </w:trPr>
        <w:tc>
          <w:tcPr>
            <w:shd w:fill="ffffff" w:val="clear"/>
            <w:vAlign w:val="center"/>
          </w:tcPr>
          <w:p w:rsidR="00000000" w:rsidDel="00000000" w:rsidP="00000000" w:rsidRDefault="00000000" w:rsidRPr="00000000" w14:paraId="0000000D">
            <w:pPr>
              <w:rPr>
                <w:color w:val="000000"/>
                <w:sz w:val="18"/>
                <w:szCs w:val="18"/>
              </w:rPr>
            </w:pPr>
            <w:r w:rsidDel="00000000" w:rsidR="00000000" w:rsidRPr="00000000">
              <w:rPr>
                <w:color w:val="000000"/>
                <w:sz w:val="18"/>
                <w:szCs w:val="18"/>
                <w:rtl w:val="0"/>
              </w:rPr>
              <w:t xml:space="preserve">100-199</w:t>
            </w:r>
          </w:p>
        </w:tc>
        <w:tc>
          <w:tcPr>
            <w:shd w:fill="ffffff" w:val="clear"/>
            <w:vAlign w:val="center"/>
          </w:tcPr>
          <w:p w:rsidR="00000000" w:rsidDel="00000000" w:rsidP="00000000" w:rsidRDefault="00000000" w:rsidRPr="00000000" w14:paraId="0000000E">
            <w:pPr>
              <w:rPr>
                <w:sz w:val="16"/>
                <w:szCs w:val="16"/>
              </w:rPr>
            </w:pPr>
            <w:r w:rsidDel="00000000" w:rsidR="00000000" w:rsidRPr="00000000">
              <w:rPr>
                <w:sz w:val="16"/>
                <w:szCs w:val="16"/>
                <w:rtl w:val="0"/>
              </w:rPr>
              <w:t xml:space="preserve">20</w:t>
            </w:r>
          </w:p>
        </w:tc>
      </w:tr>
      <w:tr>
        <w:trPr>
          <w:cantSplit w:val="0"/>
          <w:trHeight w:val="300" w:hRule="atLeast"/>
          <w:tblHeader w:val="0"/>
        </w:trPr>
        <w:tc>
          <w:tcPr>
            <w:shd w:fill="ffffff" w:val="clear"/>
            <w:vAlign w:val="center"/>
          </w:tcPr>
          <w:p w:rsidR="00000000" w:rsidDel="00000000" w:rsidP="00000000" w:rsidRDefault="00000000" w:rsidRPr="00000000" w14:paraId="0000000F">
            <w:pPr>
              <w:rPr>
                <w:color w:val="000000"/>
                <w:sz w:val="18"/>
                <w:szCs w:val="18"/>
              </w:rPr>
            </w:pPr>
            <w:r w:rsidDel="00000000" w:rsidR="00000000" w:rsidRPr="00000000">
              <w:rPr>
                <w:color w:val="000000"/>
                <w:sz w:val="18"/>
                <w:szCs w:val="18"/>
                <w:rtl w:val="0"/>
              </w:rPr>
              <w:t xml:space="preserve">200-249</w:t>
            </w:r>
          </w:p>
        </w:tc>
        <w:tc>
          <w:tcPr>
            <w:shd w:fill="ffffff" w:val="clear"/>
            <w:vAlign w:val="center"/>
          </w:tcPr>
          <w:p w:rsidR="00000000" w:rsidDel="00000000" w:rsidP="00000000" w:rsidRDefault="00000000" w:rsidRPr="00000000" w14:paraId="00000010">
            <w:pPr>
              <w:rPr>
                <w:sz w:val="16"/>
                <w:szCs w:val="16"/>
              </w:rPr>
            </w:pPr>
            <w:r w:rsidDel="00000000" w:rsidR="00000000" w:rsidRPr="00000000">
              <w:rPr>
                <w:sz w:val="16"/>
                <w:szCs w:val="16"/>
                <w:rtl w:val="0"/>
              </w:rPr>
              <w:t xml:space="preserve">30</w:t>
            </w:r>
          </w:p>
        </w:tc>
      </w:tr>
      <w:tr>
        <w:trPr>
          <w:cantSplit w:val="0"/>
          <w:trHeight w:val="300" w:hRule="atLeast"/>
          <w:tblHeader w:val="0"/>
        </w:trPr>
        <w:tc>
          <w:tcPr>
            <w:shd w:fill="ffffff" w:val="clear"/>
            <w:vAlign w:val="center"/>
          </w:tcPr>
          <w:p w:rsidR="00000000" w:rsidDel="00000000" w:rsidP="00000000" w:rsidRDefault="00000000" w:rsidRPr="00000000" w14:paraId="00000011">
            <w:pPr>
              <w:rPr>
                <w:color w:val="000000"/>
                <w:sz w:val="18"/>
                <w:szCs w:val="18"/>
              </w:rPr>
            </w:pPr>
            <w:r w:rsidDel="00000000" w:rsidR="00000000" w:rsidRPr="00000000">
              <w:rPr>
                <w:color w:val="000000"/>
                <w:sz w:val="18"/>
                <w:szCs w:val="18"/>
                <w:rtl w:val="0"/>
              </w:rPr>
              <w:t xml:space="preserve">250-499</w:t>
            </w:r>
          </w:p>
        </w:tc>
        <w:tc>
          <w:tcPr>
            <w:shd w:fill="ffffff" w:val="clear"/>
            <w:vAlign w:val="center"/>
          </w:tcPr>
          <w:p w:rsidR="00000000" w:rsidDel="00000000" w:rsidP="00000000" w:rsidRDefault="00000000" w:rsidRPr="00000000" w14:paraId="00000012">
            <w:pPr>
              <w:rPr>
                <w:sz w:val="16"/>
                <w:szCs w:val="16"/>
              </w:rPr>
            </w:pPr>
            <w:r w:rsidDel="00000000" w:rsidR="00000000" w:rsidRPr="00000000">
              <w:rPr>
                <w:sz w:val="16"/>
                <w:szCs w:val="16"/>
                <w:rtl w:val="0"/>
              </w:rPr>
              <w:t xml:space="preserve">70</w:t>
            </w:r>
          </w:p>
        </w:tc>
      </w:tr>
      <w:tr>
        <w:trPr>
          <w:cantSplit w:val="0"/>
          <w:trHeight w:val="300" w:hRule="atLeast"/>
          <w:tblHeader w:val="0"/>
        </w:trPr>
        <w:tc>
          <w:tcPr>
            <w:shd w:fill="ffffff" w:val="clear"/>
            <w:vAlign w:val="center"/>
          </w:tcPr>
          <w:p w:rsidR="00000000" w:rsidDel="00000000" w:rsidP="00000000" w:rsidRDefault="00000000" w:rsidRPr="00000000" w14:paraId="00000013">
            <w:pPr>
              <w:rPr>
                <w:color w:val="000000"/>
                <w:sz w:val="18"/>
                <w:szCs w:val="18"/>
              </w:rPr>
            </w:pPr>
            <w:r w:rsidDel="00000000" w:rsidR="00000000" w:rsidRPr="00000000">
              <w:rPr>
                <w:color w:val="000000"/>
                <w:sz w:val="18"/>
                <w:szCs w:val="18"/>
                <w:rtl w:val="0"/>
              </w:rPr>
              <w:t xml:space="preserve">500 and more</w:t>
            </w:r>
          </w:p>
        </w:tc>
        <w:tc>
          <w:tcPr>
            <w:shd w:fill="ffffff" w:val="clear"/>
            <w:vAlign w:val="center"/>
          </w:tcPr>
          <w:p w:rsidR="00000000" w:rsidDel="00000000" w:rsidP="00000000" w:rsidRDefault="00000000" w:rsidRPr="00000000" w14:paraId="00000014">
            <w:pPr>
              <w:rPr>
                <w:sz w:val="16"/>
                <w:szCs w:val="16"/>
              </w:rPr>
            </w:pPr>
            <w:r w:rsidDel="00000000" w:rsidR="00000000" w:rsidRPr="00000000">
              <w:rPr>
                <w:sz w:val="16"/>
                <w:szCs w:val="16"/>
                <w:rtl w:val="0"/>
              </w:rPr>
              <w:t xml:space="preserve">100</w:t>
            </w:r>
          </w:p>
        </w:tc>
      </w:tr>
    </w:tbl>
    <w:p w:rsidR="00000000" w:rsidDel="00000000" w:rsidP="00000000" w:rsidRDefault="00000000" w:rsidRPr="00000000" w14:paraId="00000015">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legal entity or an individual operating a business who rents out means of transport equipped with a TV receiver as accessories shall, in addition, pay the TV licence fee for each such means of transport.</w:t>
      </w:r>
    </w:p>
    <w:p w:rsidR="00000000" w:rsidDel="00000000" w:rsidP="00000000" w:rsidRDefault="00000000" w:rsidRPr="00000000" w14:paraId="00000018">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TV receiver is defined as any device technically capable of receiving a TV signal, regardless of the method of reception (e.g. a television set, tablet or mobile phone).</w:t>
      </w:r>
    </w:p>
    <w:p w:rsidR="00000000" w:rsidDel="00000000" w:rsidP="00000000" w:rsidRDefault="00000000" w:rsidRPr="00000000" w14:paraId="0000001A">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D">
      <w:pPr>
        <w:rPr>
          <w:rFonts w:ascii="Verdana" w:cs="Verdana" w:eastAsia="Verdana" w:hAnsi="Verdana"/>
          <w:sz w:val="16"/>
          <w:szCs w:val="16"/>
          <w:u w:val="single"/>
        </w:rPr>
      </w:pPr>
      <w:r w:rsidDel="00000000" w:rsidR="00000000" w:rsidRPr="00000000">
        <w:rPr>
          <w:rFonts w:ascii="Verdana" w:cs="Verdana" w:eastAsia="Verdana" w:hAnsi="Verdana"/>
          <w:sz w:val="16"/>
          <w:szCs w:val="16"/>
          <w:u w:val="single"/>
          <w:rtl w:val="0"/>
        </w:rPr>
        <w:t xml:space="preserve">Contact details:</w:t>
      </w:r>
    </w:p>
    <w:p w:rsidR="00000000" w:rsidDel="00000000" w:rsidP="00000000" w:rsidRDefault="00000000" w:rsidRPr="00000000" w14:paraId="0000001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Czech Television – televizní poplatky </w:t>
      </w:r>
    </w:p>
    <w:p w:rsidR="00000000" w:rsidDel="00000000" w:rsidP="00000000" w:rsidRDefault="00000000" w:rsidRPr="00000000" w14:paraId="0000001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Kavčí hory</w:t>
      </w:r>
    </w:p>
    <w:p w:rsidR="00000000" w:rsidDel="00000000" w:rsidP="00000000" w:rsidRDefault="00000000" w:rsidRPr="00000000" w14:paraId="0000002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140 70 Prague 4</w:t>
      </w:r>
    </w:p>
    <w:p w:rsidR="00000000" w:rsidDel="00000000" w:rsidP="00000000" w:rsidRDefault="00000000" w:rsidRPr="00000000" w14:paraId="0000002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Phone: 261 133 885</w:t>
      </w:r>
    </w:p>
    <w:p w:rsidR="00000000" w:rsidDel="00000000" w:rsidP="00000000" w:rsidRDefault="00000000" w:rsidRPr="00000000" w14:paraId="0000002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Email: </w:t>
      </w:r>
      <w:hyperlink r:id="rId7">
        <w:r w:rsidDel="00000000" w:rsidR="00000000" w:rsidRPr="00000000">
          <w:rPr>
            <w:rFonts w:ascii="Verdana" w:cs="Verdana" w:eastAsia="Verdana" w:hAnsi="Verdana"/>
            <w:color w:val="0000ff"/>
            <w:sz w:val="16"/>
            <w:szCs w:val="16"/>
            <w:u w:val="single"/>
            <w:rtl w:val="0"/>
          </w:rPr>
          <w:t xml:space="preserve">poplatky@ceskatelevize.cz</w:t>
        </w:r>
      </w:hyperlink>
      <w:r w:rsidDel="00000000" w:rsidR="00000000" w:rsidRPr="00000000">
        <w:rPr>
          <w:rtl w:val="0"/>
        </w:rPr>
      </w:r>
    </w:p>
    <w:p w:rsidR="00000000" w:rsidDel="00000000" w:rsidP="00000000" w:rsidRDefault="00000000" w:rsidRPr="00000000" w14:paraId="00000023">
      <w:pPr>
        <w:jc w:val="both"/>
        <w:rPr>
          <w:rFonts w:ascii="Verdana" w:cs="Verdana" w:eastAsia="Verdana" w:hAnsi="Verdana"/>
          <w:sz w:val="16"/>
          <w:szCs w:val="16"/>
        </w:rPr>
      </w:pPr>
      <w:hyperlink r:id="rId8">
        <w:r w:rsidDel="00000000" w:rsidR="00000000" w:rsidRPr="00000000">
          <w:rPr>
            <w:rFonts w:ascii="Verdana" w:cs="Verdana" w:eastAsia="Verdana" w:hAnsi="Verdana"/>
            <w:color w:val="0000ff"/>
            <w:sz w:val="16"/>
            <w:szCs w:val="16"/>
            <w:u w:val="single"/>
            <w:rtl w:val="0"/>
          </w:rPr>
          <w:t xml:space="preserve">www.ceskatelevize.cz/poplatky</w:t>
        </w:r>
      </w:hyperlink>
      <w:r w:rsidDel="00000000" w:rsidR="00000000" w:rsidRPr="00000000">
        <w:rPr>
          <w:rtl w:val="0"/>
        </w:rPr>
      </w:r>
    </w:p>
    <w:p w:rsidR="00000000" w:rsidDel="00000000" w:rsidP="00000000" w:rsidRDefault="00000000" w:rsidRPr="00000000" w14:paraId="00000024">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monthly amount of the TV licence fee is laid down by law. The fee is payable by the 15</w:t>
      </w:r>
      <w:r w:rsidDel="00000000" w:rsidR="00000000" w:rsidRPr="00000000">
        <w:rPr>
          <w:rFonts w:ascii="Verdana" w:cs="Verdana" w:eastAsia="Verdana" w:hAnsi="Verdana"/>
          <w:sz w:val="16"/>
          <w:szCs w:val="16"/>
          <w:vertAlign w:val="superscript"/>
          <w:rtl w:val="0"/>
        </w:rPr>
        <w:t xml:space="preserve">th</w:t>
      </w:r>
      <w:r w:rsidDel="00000000" w:rsidR="00000000" w:rsidRPr="00000000">
        <w:rPr>
          <w:rFonts w:ascii="Verdana" w:cs="Verdana" w:eastAsia="Verdana" w:hAnsi="Verdana"/>
          <w:sz w:val="16"/>
          <w:szCs w:val="16"/>
          <w:rtl w:val="0"/>
        </w:rPr>
        <w:t xml:space="preserve"> day of the first month of each calendar quarter.</w:t>
      </w:r>
    </w:p>
    <w:p w:rsidR="00000000" w:rsidDel="00000000" w:rsidP="00000000" w:rsidRDefault="00000000" w:rsidRPr="00000000" w14:paraId="00000026">
      <w:pPr>
        <w:tabs>
          <w:tab w:val="left" w:leader="none" w:pos="2552"/>
          <w:tab w:val="left" w:leader="none" w:pos="2835"/>
        </w:tabs>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Due dates: </w:t>
        <w:tab/>
        <w:t xml:space="preserve">1</w:t>
      </w:r>
      <w:r w:rsidDel="00000000" w:rsidR="00000000" w:rsidRPr="00000000">
        <w:rPr>
          <w:rFonts w:ascii="Verdana" w:cs="Verdana" w:eastAsia="Verdana" w:hAnsi="Verdana"/>
          <w:sz w:val="16"/>
          <w:szCs w:val="16"/>
          <w:vertAlign w:val="superscript"/>
          <w:rtl w:val="0"/>
        </w:rPr>
        <w:t xml:space="preserve">st</w:t>
      </w:r>
      <w:r w:rsidDel="00000000" w:rsidR="00000000" w:rsidRPr="00000000">
        <w:rPr>
          <w:rFonts w:ascii="Verdana" w:cs="Verdana" w:eastAsia="Verdana" w:hAnsi="Verdana"/>
          <w:sz w:val="16"/>
          <w:szCs w:val="16"/>
          <w:rtl w:val="0"/>
        </w:rPr>
        <w:t xml:space="preserve"> quarter </w:t>
        <w:tab/>
        <w:t xml:space="preserve">-</w:t>
        <w:tab/>
        <w:t xml:space="preserve">by 15 January</w:t>
      </w:r>
    </w:p>
    <w:p w:rsidR="00000000" w:rsidDel="00000000" w:rsidP="00000000" w:rsidRDefault="00000000" w:rsidRPr="00000000" w14:paraId="00000027">
      <w:pPr>
        <w:tabs>
          <w:tab w:val="left" w:leader="none" w:pos="2552"/>
          <w:tab w:val="left" w:leader="none" w:pos="2835"/>
        </w:tabs>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tab/>
        <w:t xml:space="preserve">2</w:t>
      </w:r>
      <w:r w:rsidDel="00000000" w:rsidR="00000000" w:rsidRPr="00000000">
        <w:rPr>
          <w:rFonts w:ascii="Verdana" w:cs="Verdana" w:eastAsia="Verdana" w:hAnsi="Verdana"/>
          <w:sz w:val="16"/>
          <w:szCs w:val="16"/>
          <w:vertAlign w:val="superscript"/>
          <w:rtl w:val="0"/>
        </w:rPr>
        <w:t xml:space="preserve">nd</w:t>
      </w:r>
      <w:r w:rsidDel="00000000" w:rsidR="00000000" w:rsidRPr="00000000">
        <w:rPr>
          <w:rFonts w:ascii="Verdana" w:cs="Verdana" w:eastAsia="Verdana" w:hAnsi="Verdana"/>
          <w:sz w:val="16"/>
          <w:szCs w:val="16"/>
          <w:rtl w:val="0"/>
        </w:rPr>
        <w:t xml:space="preserve"> quarter</w:t>
        <w:tab/>
        <w:t xml:space="preserve">-</w:t>
        <w:tab/>
        <w:t xml:space="preserve">by 15 April</w:t>
      </w:r>
    </w:p>
    <w:p w:rsidR="00000000" w:rsidDel="00000000" w:rsidP="00000000" w:rsidRDefault="00000000" w:rsidRPr="00000000" w14:paraId="00000028">
      <w:pPr>
        <w:tabs>
          <w:tab w:val="left" w:leader="none" w:pos="2552"/>
          <w:tab w:val="left" w:leader="none" w:pos="2835"/>
        </w:tabs>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tab/>
        <w:t xml:space="preserve">3</w:t>
      </w:r>
      <w:r w:rsidDel="00000000" w:rsidR="00000000" w:rsidRPr="00000000">
        <w:rPr>
          <w:rFonts w:ascii="Verdana" w:cs="Verdana" w:eastAsia="Verdana" w:hAnsi="Verdana"/>
          <w:sz w:val="16"/>
          <w:szCs w:val="16"/>
          <w:vertAlign w:val="superscript"/>
          <w:rtl w:val="0"/>
        </w:rPr>
        <w:t xml:space="preserve">rd</w:t>
      </w:r>
      <w:r w:rsidDel="00000000" w:rsidR="00000000" w:rsidRPr="00000000">
        <w:rPr>
          <w:rFonts w:ascii="Verdana" w:cs="Verdana" w:eastAsia="Verdana" w:hAnsi="Verdana"/>
          <w:sz w:val="16"/>
          <w:szCs w:val="16"/>
          <w:rtl w:val="0"/>
        </w:rPr>
        <w:t xml:space="preserve"> quarter</w:t>
        <w:tab/>
        <w:t xml:space="preserve">-</w:t>
        <w:tab/>
        <w:t xml:space="preserve">by 15 July</w:t>
      </w:r>
    </w:p>
    <w:p w:rsidR="00000000" w:rsidDel="00000000" w:rsidP="00000000" w:rsidRDefault="00000000" w:rsidRPr="00000000" w14:paraId="00000029">
      <w:pPr>
        <w:tabs>
          <w:tab w:val="left" w:leader="none" w:pos="2552"/>
          <w:tab w:val="left" w:leader="none" w:pos="2835"/>
        </w:tabs>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tab/>
        <w:t xml:space="preserve">4</w:t>
      </w:r>
      <w:r w:rsidDel="00000000" w:rsidR="00000000" w:rsidRPr="00000000">
        <w:rPr>
          <w:rFonts w:ascii="Verdana" w:cs="Verdana" w:eastAsia="Verdana" w:hAnsi="Verdana"/>
          <w:sz w:val="16"/>
          <w:szCs w:val="16"/>
          <w:vertAlign w:val="superscript"/>
          <w:rtl w:val="0"/>
        </w:rPr>
        <w:t xml:space="preserve">th</w:t>
      </w:r>
      <w:r w:rsidDel="00000000" w:rsidR="00000000" w:rsidRPr="00000000">
        <w:rPr>
          <w:rFonts w:ascii="Verdana" w:cs="Verdana" w:eastAsia="Verdana" w:hAnsi="Verdana"/>
          <w:sz w:val="16"/>
          <w:szCs w:val="16"/>
          <w:rtl w:val="0"/>
        </w:rPr>
        <w:t xml:space="preserve"> quarter</w:t>
        <w:tab/>
        <w:t xml:space="preserve">-</w:t>
        <w:tab/>
        <w:t xml:space="preserve">by 15 October</w:t>
      </w:r>
    </w:p>
    <w:p w:rsidR="00000000" w:rsidDel="00000000" w:rsidP="00000000" w:rsidRDefault="00000000" w:rsidRPr="00000000" w14:paraId="0000002A">
      <w:pPr>
        <w:tabs>
          <w:tab w:val="left" w:leader="none" w:pos="2552"/>
          <w:tab w:val="left" w:leader="none" w:pos="2835"/>
        </w:tabs>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 legal entity becomes a payer, or if a payer’s employee band changes during a calendar quarter, the TV licence fee shall be paid at a monthly rate from the calendar month following the month in which the entity became a payer or the employee band changed, until the end of that quarter, and shall be due no later than the 15</w:t>
      </w:r>
      <w:r w:rsidDel="00000000" w:rsidR="00000000" w:rsidRPr="00000000">
        <w:rPr>
          <w:rFonts w:ascii="Verdana" w:cs="Verdana" w:eastAsia="Verdana" w:hAnsi="Verdana"/>
          <w:sz w:val="16"/>
          <w:szCs w:val="16"/>
          <w:vertAlign w:val="superscript"/>
          <w:rtl w:val="0"/>
        </w:rPr>
        <w:t xml:space="preserve">th</w:t>
      </w:r>
      <w:r w:rsidDel="00000000" w:rsidR="00000000" w:rsidRPr="00000000">
        <w:rPr>
          <w:rFonts w:ascii="Verdana" w:cs="Verdana" w:eastAsia="Verdana" w:hAnsi="Verdana"/>
          <w:sz w:val="16"/>
          <w:szCs w:val="16"/>
          <w:rtl w:val="0"/>
        </w:rPr>
        <w:t xml:space="preserve"> day of the relevant calendar month.</w:t>
      </w:r>
    </w:p>
    <w:p w:rsidR="00000000" w:rsidDel="00000000" w:rsidP="00000000" w:rsidRDefault="00000000" w:rsidRPr="00000000" w14:paraId="0000002C">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TV licence fee is paid to Czech Television account No. 8029-1800060583 / 0300 using the variable symbol assigned by Czech Television after </w:t>
      </w:r>
      <w:sdt>
        <w:sdtPr>
          <w:id w:val="1501353485"/>
          <w:tag w:val="goog_rdk_0"/>
        </w:sdtPr>
        <w:sdtContent>
          <w:ins w:author="David Šafránek" w:id="0" w:date="2026-01-30T10:42:23Z">
            <w:r w:rsidDel="00000000" w:rsidR="00000000" w:rsidRPr="00000000">
              <w:rPr>
                <w:rFonts w:ascii="Verdana" w:cs="Verdana" w:eastAsia="Verdana" w:hAnsi="Verdana"/>
                <w:sz w:val="16"/>
                <w:szCs w:val="16"/>
                <w:rtl w:val="0"/>
              </w:rPr>
              <w:t xml:space="preserve">registration</w:t>
            </w:r>
          </w:ins>
        </w:sdtContent>
      </w:sdt>
      <w:sdt>
        <w:sdtPr>
          <w:id w:val="350718138"/>
          <w:tag w:val="goog_rdk_1"/>
        </w:sdtPr>
        <w:sdtContent>
          <w:del w:author="David Šafránek" w:id="0" w:date="2026-01-30T10:42:23Z">
            <w:r w:rsidDel="00000000" w:rsidR="00000000" w:rsidRPr="00000000">
              <w:rPr>
                <w:rFonts w:ascii="Verdana" w:cs="Verdana" w:eastAsia="Verdana" w:hAnsi="Verdana"/>
                <w:sz w:val="16"/>
                <w:szCs w:val="16"/>
                <w:rtl w:val="0"/>
              </w:rPr>
              <w:delText xml:space="preserve">subscription</w:delText>
            </w:r>
          </w:del>
        </w:sdtContent>
      </w:sdt>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2E">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payer shall be obliged to notify Czech Television of any and all changes related to the payer’s registration, in particular any change in the number of employees employed under an employment relationship, within 15 days from the date such changes arise. This notification duty and time limit shall also apply to </w:t>
      </w:r>
      <w:sdt>
        <w:sdtPr>
          <w:id w:val="-1688923593"/>
          <w:tag w:val="goog_rdk_2"/>
        </w:sdtPr>
        <w:sdtContent>
          <w:ins w:author="David Šafránek" w:id="1" w:date="2026-01-30T10:49:33Z">
            <w:r w:rsidDel="00000000" w:rsidR="00000000" w:rsidRPr="00000000">
              <w:rPr>
                <w:rFonts w:ascii="Verdana" w:cs="Verdana" w:eastAsia="Verdana" w:hAnsi="Verdana"/>
                <w:sz w:val="16"/>
                <w:szCs w:val="16"/>
                <w:rtl w:val="0"/>
              </w:rPr>
              <w:t xml:space="preserve">deregistration</w:t>
            </w:r>
          </w:ins>
        </w:sdtContent>
      </w:sdt>
      <w:sdt>
        <w:sdtPr>
          <w:id w:val="801488000"/>
          <w:tag w:val="goog_rdk_3"/>
        </w:sdtPr>
        <w:sdtContent>
          <w:del w:author="David Šafránek" w:id="1" w:date="2026-01-30T10:49:33Z">
            <w:r w:rsidDel="00000000" w:rsidR="00000000" w:rsidRPr="00000000">
              <w:rPr>
                <w:rFonts w:ascii="Verdana" w:cs="Verdana" w:eastAsia="Verdana" w:hAnsi="Verdana"/>
                <w:sz w:val="16"/>
                <w:szCs w:val="16"/>
                <w:rtl w:val="0"/>
              </w:rPr>
              <w:delText xml:space="preserve">unsubscribing from the registration</w:delText>
            </w:r>
          </w:del>
        </w:sdtContent>
      </w:sdt>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30">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1">
      <w:pPr>
        <w:jc w:val="center"/>
        <w:rPr>
          <w:b w:val="1"/>
          <w:bCs w:val="1"/>
          <w:sz w:val="20"/>
          <w:szCs w:val="20"/>
        </w:rPr>
      </w:pPr>
      <w:r w:rsidDel="00000000" w:rsidR="00000000" w:rsidRPr="00000000">
        <w:rPr>
          <w:b w:val="1"/>
          <w:bCs w:val="1"/>
          <w:sz w:val="20"/>
          <w:szCs w:val="20"/>
          <w:rtl w:val="0"/>
        </w:rPr>
        <w:t xml:space="preserve">INFORMATION ON THE PROCESSING OF PERSONAL DATA</w:t>
      </w:r>
    </w:p>
    <w:p w:rsidR="00000000" w:rsidDel="00000000" w:rsidP="00000000" w:rsidRDefault="00000000" w:rsidRPr="00000000" w14:paraId="00000032">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controller of personal data of TV licence fee payers is Czech Television, with its registered office at Na Hřebenech II 1132/4, 140 70 Prague 4.</w:t>
      </w:r>
    </w:p>
    <w:p w:rsidR="00000000" w:rsidDel="00000000" w:rsidP="00000000" w:rsidRDefault="00000000" w:rsidRPr="00000000" w14:paraId="00000035">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Czech Television processes the personal data recorded in the register of payers in accordance with generally binding legal regulations, in particular the General Data Protection Regulation (GDPR), in a manner ensuring appropriate security, and does not use such data for purposes other than those specified.</w:t>
      </w:r>
    </w:p>
    <w:p w:rsidR="00000000" w:rsidDel="00000000" w:rsidP="00000000" w:rsidRDefault="00000000" w:rsidRPr="00000000" w14:paraId="00000037">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8">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purpose of the processing of personal data is to maintain the register of TV licence fee payers pursuant to Act No. 348/2005 Coll., on Radio and Television Fees, as amended, and to fulfil other obligations applicable to Czech Television as the controller pursuant to Act No. 499/2004 Coll., on Archives and Records Management, as amended, Act No. 563/1991 Coll., on Accounting, as amended, and Act No. 370/2017 Coll., on Payment Services, as amended. The legal basis for processing mandatory personal data is compliance with a legal obligation to which the controller is subject. In the case of optional personal data, the legal basis is the performance of a task carried out in the public interest or in the exercise of official authority vested in the controller.</w:t>
      </w:r>
    </w:p>
    <w:p w:rsidR="00000000" w:rsidDel="00000000" w:rsidP="00000000" w:rsidRDefault="00000000" w:rsidRPr="00000000" w14:paraId="00000039">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Personal data are processed for the duration of the fee obligation and for a period of 10 years after its termination. Recipients of personal data may include public authorities, Czech Radio, attorneys-at-law, enforcement officers, notaries, entities providing IT services, payment gateway providers, and personal data processors engaged by Czech Television in connection with the processing of personal data.</w:t>
      </w:r>
    </w:p>
    <w:p w:rsidR="00000000" w:rsidDel="00000000" w:rsidP="00000000" w:rsidRDefault="00000000" w:rsidRPr="00000000" w14:paraId="0000003B">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Under the General Data Protection Regulation (GDPR), the data subject has the right to request from Czech Television access to their personal data, rectification or erasure of personal data, restriction of processing, as well as the right, in accordance with Article 21 of the GDPR, to object to the processing of optional personal data relating to the data subject, and the right to data portability. Requests and objections may be submitted in writing to the address of Czech Television stated above, by data message, or by e-mail at: </w:t>
      </w:r>
      <w:hyperlink r:id="rId9">
        <w:r w:rsidDel="00000000" w:rsidR="00000000" w:rsidRPr="00000000">
          <w:rPr>
            <w:color w:val="0000ff"/>
            <w:sz w:val="16"/>
            <w:szCs w:val="16"/>
            <w:u w:val="single"/>
            <w:rtl w:val="0"/>
          </w:rPr>
          <w:t xml:space="preserve">osobniudaje@ceskatelevize.cz</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3D">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F">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 case of any doubts regarding compliance with obligations related to the processing of personal data, you may contact Czech Television at any time at </w:t>
      </w:r>
      <w:hyperlink r:id="rId10">
        <w:r w:rsidDel="00000000" w:rsidR="00000000" w:rsidRPr="00000000">
          <w:rPr>
            <w:rFonts w:ascii="Verdana" w:cs="Verdana" w:eastAsia="Verdana" w:hAnsi="Verdana"/>
            <w:color w:val="0000ff"/>
            <w:sz w:val="16"/>
            <w:szCs w:val="16"/>
            <w:u w:val="single"/>
            <w:rtl w:val="0"/>
          </w:rPr>
          <w:t xml:space="preserve">osobniudaje@ceskatelevize.cz</w:t>
        </w:r>
      </w:hyperlink>
      <w:r w:rsidDel="00000000" w:rsidR="00000000" w:rsidRPr="00000000">
        <w:rPr>
          <w:rFonts w:ascii="Verdana" w:cs="Verdana" w:eastAsia="Verdana" w:hAnsi="Verdana"/>
          <w:sz w:val="16"/>
          <w:szCs w:val="16"/>
          <w:rtl w:val="0"/>
        </w:rPr>
        <w:t xml:space="preserve">, and you may also lodge a complaint with the Office for Personal Data Protection, with its registered office at pplk. Sochora 27, Prague 7, Postal Code 170 00.</w:t>
      </w:r>
    </w:p>
    <w:p w:rsidR="00000000" w:rsidDel="00000000" w:rsidP="00000000" w:rsidRDefault="00000000" w:rsidRPr="00000000" w14:paraId="00000040">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f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For more information visit: </w:t>
      </w:r>
      <w:hyperlink r:id="rId11">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https://poplatky.ceskatelevize.cz/gdpr</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6"/>
          <w:szCs w:val="16"/>
          <w:u w:val="none"/>
          <w:shd w:fill="auto" w:val="clear"/>
          <w:vertAlign w:val="baseline"/>
          <w:rtl w:val="0"/>
        </w:rPr>
        <w:t xml:space="preserve"> </w:t>
      </w:r>
    </w:p>
    <w:p w:rsidR="00000000" w:rsidDel="00000000" w:rsidP="00000000" w:rsidRDefault="00000000" w:rsidRPr="00000000" w14:paraId="00000042">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4">
      <w:pPr>
        <w:jc w:val="both"/>
        <w:rPr>
          <w:color w:val="00b0f0"/>
          <w:sz w:val="16"/>
          <w:szCs w:val="16"/>
        </w:rPr>
      </w:pPr>
      <w:r w:rsidDel="00000000" w:rsidR="00000000" w:rsidRPr="00000000">
        <w:rPr>
          <w:rtl w:val="0"/>
        </w:rPr>
      </w:r>
    </w:p>
    <w:p w:rsidR="00000000" w:rsidDel="00000000" w:rsidP="00000000" w:rsidRDefault="00000000" w:rsidRPr="00000000" w14:paraId="00000045">
      <w:pPr>
        <w:pStyle w:val="Heading1"/>
        <w:rPr>
          <w:rFonts w:ascii="Verdana" w:cs="Verdana" w:eastAsia="Verdana" w:hAnsi="Verdana"/>
        </w:rPr>
      </w:pPr>
      <w:r w:rsidDel="00000000" w:rsidR="00000000" w:rsidRPr="00000000">
        <w:rPr>
          <w:rFonts w:ascii="Verdana" w:cs="Verdana" w:eastAsia="Verdana" w:hAnsi="Verdana"/>
          <w:rtl w:val="0"/>
        </w:rPr>
        <w:t xml:space="preserve">INSTRUCTIONS FOR FILLING IN THE FORM</w:t>
      </w:r>
    </w:p>
    <w:p w:rsidR="00000000" w:rsidDel="00000000" w:rsidP="00000000" w:rsidRDefault="00000000" w:rsidRPr="00000000" w14:paraId="00000046">
      <w:pPr>
        <w:jc w:val="both"/>
        <w:rPr>
          <w:sz w:val="16"/>
          <w:szCs w:val="16"/>
        </w:rPr>
      </w:pPr>
      <w:r w:rsidDel="00000000" w:rsidR="00000000" w:rsidRPr="00000000">
        <w:rPr>
          <w:rtl w:val="0"/>
        </w:rPr>
      </w:r>
    </w:p>
    <w:p w:rsidR="00000000" w:rsidDel="00000000" w:rsidP="00000000" w:rsidRDefault="00000000" w:rsidRPr="00000000" w14:paraId="00000047">
      <w:pPr>
        <w:jc w:val="both"/>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A. Registration</w:t>
      </w:r>
    </w:p>
    <w:p w:rsidR="00000000" w:rsidDel="00000000" w:rsidP="00000000" w:rsidRDefault="00000000" w:rsidRPr="00000000" w14:paraId="00000048">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sdt>
        <w:sdtPr>
          <w:id w:val="-1699971092"/>
          <w:tag w:val="goog_rdk_4"/>
        </w:sdtPr>
        <w:sdtContent>
          <w:ins w:author="David Šafránek" w:id="2" w:date="2026-01-30T10:41:55Z"/>
          <w:sdt>
            <w:sdtPr>
              <w:id w:val="1491798679"/>
              <w:tag w:val="goog_rdk_5"/>
            </w:sdtPr>
            <w:sdtContent>
              <w:ins w:author="David Šafránek" w:id="2" w:date="2026-01-30T10:41:55Z">
                <w:r w:rsidDel="00000000" w:rsidR="00000000" w:rsidRPr="00000000">
                  <w:rPr>
                    <w:rFonts w:ascii="Verdana" w:cs="Verdana" w:eastAsia="Verdana" w:hAnsi="Verdana"/>
                    <w:sz w:val="16"/>
                    <w:szCs w:val="16"/>
                    <w:u w:val="single"/>
                    <w:rtl w:val="0"/>
                    <w:rPrChange w:author="David Šafránek" w:id="3" w:date="2026-01-30T10:41:55Z">
                      <w:rPr>
                        <w:rFonts w:ascii="Verdana" w:cs="Verdana" w:eastAsia="Verdana" w:hAnsi="Verdana"/>
                        <w:sz w:val="16"/>
                        <w:szCs w:val="16"/>
                      </w:rPr>
                    </w:rPrChange>
                  </w:rPr>
                  <w:t xml:space="preserve">Register</w:t>
                </w:r>
              </w:ins>
            </w:sdtContent>
          </w:sdt>
          <w:ins w:author="David Šafránek" w:id="2" w:date="2026-01-30T10:41:55Z"/>
        </w:sdtContent>
      </w:sdt>
      <w:sdt>
        <w:sdtPr>
          <w:id w:val="305059171"/>
          <w:tag w:val="goog_rdk_6"/>
        </w:sdtPr>
        <w:sdtContent>
          <w:del w:author="David Šafránek" w:id="2" w:date="2026-01-30T10:41:55Z">
            <w:r w:rsidDel="00000000" w:rsidR="00000000" w:rsidRPr="00000000">
              <w:rPr>
                <w:rFonts w:ascii="Verdana" w:cs="Verdana" w:eastAsia="Verdana" w:hAnsi="Verdana"/>
                <w:sz w:val="16"/>
                <w:szCs w:val="16"/>
                <w:u w:val="single"/>
                <w:rtl w:val="0"/>
              </w:rPr>
              <w:delText xml:space="preserve">Subscribe</w:delText>
            </w:r>
          </w:del>
        </w:sdtContent>
      </w:sdt>
      <w:r w:rsidDel="00000000" w:rsidR="00000000" w:rsidRPr="00000000">
        <w:rPr>
          <w:rFonts w:ascii="Verdana" w:cs="Verdana" w:eastAsia="Verdana" w:hAnsi="Verdana"/>
          <w:sz w:val="16"/>
          <w:szCs w:val="16"/>
          <w:rtl w:val="0"/>
        </w:rPr>
        <w:t xml:space="preserve">” option at the beginning of the form and complete all sections except for section 5. Do not fill in the variable symbol in section 1. After you send the completed form, Czech Television will inform you about the assigned variable symbol (VS) for the payment of the TV licence fee and the date from which it is to be paid. Where a legal entity or an individual operating a business has a business establishment, they will provide information on the establishment in section 4. If the payer has more than one establishment, they must fill in a separate TV Licence Payer Form for each establishment.</w:t>
      </w:r>
    </w:p>
    <w:p w:rsidR="00000000" w:rsidDel="00000000" w:rsidP="00000000" w:rsidRDefault="00000000" w:rsidRPr="00000000" w14:paraId="00000049">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A">
      <w:pPr>
        <w:jc w:val="both"/>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B. Change</w:t>
      </w:r>
    </w:p>
    <w:p w:rsidR="00000000" w:rsidDel="00000000" w:rsidP="00000000" w:rsidRDefault="00000000" w:rsidRPr="00000000" w14:paraId="0000004B">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r w:rsidDel="00000000" w:rsidR="00000000" w:rsidRPr="00000000">
        <w:rPr>
          <w:rFonts w:ascii="Verdana" w:cs="Verdana" w:eastAsia="Verdana" w:hAnsi="Verdana"/>
          <w:sz w:val="16"/>
          <w:szCs w:val="16"/>
          <w:u w:val="single"/>
          <w:rtl w:val="0"/>
        </w:rPr>
        <w:t xml:space="preserve">Change</w:t>
      </w:r>
      <w:r w:rsidDel="00000000" w:rsidR="00000000" w:rsidRPr="00000000">
        <w:rPr>
          <w:rFonts w:ascii="Verdana" w:cs="Verdana" w:eastAsia="Verdana" w:hAnsi="Verdana"/>
          <w:sz w:val="16"/>
          <w:szCs w:val="16"/>
          <w:rtl w:val="0"/>
        </w:rPr>
        <w:t xml:space="preserve">” option at the beginning of the form and complete sections 1 and 6. In sections 2, 3 and 4, fill in only the data fields that have changed. After you send the completed form to Czech Television, the changes in the data will be entered into the register as of the date of receipt of the form by Czech Television, with effect from the following month. </w:t>
      </w:r>
    </w:p>
    <w:p w:rsidR="00000000" w:rsidDel="00000000" w:rsidP="00000000" w:rsidRDefault="00000000" w:rsidRPr="00000000" w14:paraId="0000004C">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D">
      <w:pPr>
        <w:jc w:val="both"/>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C. Deregistration</w:t>
      </w:r>
    </w:p>
    <w:p w:rsidR="00000000" w:rsidDel="00000000" w:rsidP="00000000" w:rsidRDefault="00000000" w:rsidRPr="00000000" w14:paraId="0000004E">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sdt>
        <w:sdtPr>
          <w:id w:val="937406407"/>
          <w:tag w:val="goog_rdk_7"/>
        </w:sdtPr>
        <w:sdtContent>
          <w:ins w:author="David Šafránek" w:id="4" w:date="2026-01-30T10:42:01Z"/>
          <w:sdt>
            <w:sdtPr>
              <w:id w:val="1287998601"/>
              <w:tag w:val="goog_rdk_8"/>
            </w:sdtPr>
            <w:sdtContent>
              <w:ins w:author="David Šafránek" w:id="4" w:date="2026-01-30T10:42:01Z">
                <w:r w:rsidDel="00000000" w:rsidR="00000000" w:rsidRPr="00000000">
                  <w:rPr>
                    <w:rFonts w:ascii="Verdana" w:cs="Verdana" w:eastAsia="Verdana" w:hAnsi="Verdana"/>
                    <w:sz w:val="16"/>
                    <w:szCs w:val="16"/>
                    <w:u w:val="single"/>
                    <w:rtl w:val="0"/>
                    <w:rPrChange w:author="David Šafránek" w:id="5" w:date="2026-01-30T10:42:01Z">
                      <w:rPr>
                        <w:rFonts w:ascii="Verdana" w:cs="Verdana" w:eastAsia="Verdana" w:hAnsi="Verdana"/>
                        <w:sz w:val="16"/>
                        <w:szCs w:val="16"/>
                      </w:rPr>
                    </w:rPrChange>
                  </w:rPr>
                  <w:t xml:space="preserve">Deregister</w:t>
                </w:r>
              </w:ins>
            </w:sdtContent>
          </w:sdt>
          <w:ins w:author="David Šafránek" w:id="4" w:date="2026-01-30T10:42:01Z"/>
        </w:sdtContent>
      </w:sdt>
      <w:sdt>
        <w:sdtPr>
          <w:id w:val="-1288933482"/>
          <w:tag w:val="goog_rdk_9"/>
        </w:sdtPr>
        <w:sdtContent>
          <w:del w:author="David Šafránek" w:id="4" w:date="2026-01-30T10:42:01Z">
            <w:r w:rsidDel="00000000" w:rsidR="00000000" w:rsidRPr="00000000">
              <w:rPr>
                <w:rFonts w:ascii="Verdana" w:cs="Verdana" w:eastAsia="Verdana" w:hAnsi="Verdana"/>
                <w:sz w:val="16"/>
                <w:szCs w:val="16"/>
                <w:u w:val="single"/>
                <w:rtl w:val="0"/>
              </w:rPr>
              <w:delText xml:space="preserve">Unsubscribe</w:delText>
            </w:r>
          </w:del>
        </w:sdtContent>
      </w:sdt>
      <w:r w:rsidDel="00000000" w:rsidR="00000000" w:rsidRPr="00000000">
        <w:rPr>
          <w:rFonts w:ascii="Verdana" w:cs="Verdana" w:eastAsia="Verdana" w:hAnsi="Verdana"/>
          <w:sz w:val="16"/>
          <w:szCs w:val="16"/>
          <w:rtl w:val="0"/>
        </w:rPr>
        <w:t xml:space="preserve">” option at the beginning of the form and complete sections 1, 2, 5 and 6. Do not fill in sections 3 and 4. The payer is still required to pay the TV licence fee for the month in which the </w:t>
      </w:r>
      <w:sdt>
        <w:sdtPr>
          <w:id w:val="-32046995"/>
          <w:tag w:val="goog_rdk_10"/>
        </w:sdtPr>
        <w:sdtContent>
          <w:ins w:author="David Šafránek" w:id="6" w:date="2026-01-30T10:42:10Z">
            <w:r w:rsidDel="00000000" w:rsidR="00000000" w:rsidRPr="00000000">
              <w:rPr>
                <w:rFonts w:ascii="Verdana" w:cs="Verdana" w:eastAsia="Verdana" w:hAnsi="Verdana"/>
                <w:sz w:val="16"/>
                <w:szCs w:val="16"/>
                <w:rtl w:val="0"/>
              </w:rPr>
              <w:t xml:space="preserve">deregistration</w:t>
            </w:r>
          </w:ins>
        </w:sdtContent>
      </w:sdt>
      <w:sdt>
        <w:sdtPr>
          <w:id w:val="303593139"/>
          <w:tag w:val="goog_rdk_11"/>
        </w:sdtPr>
        <w:sdtContent>
          <w:del w:author="David Šafránek" w:id="6" w:date="2026-01-30T10:42:10Z">
            <w:r w:rsidDel="00000000" w:rsidR="00000000" w:rsidRPr="00000000">
              <w:rPr>
                <w:rFonts w:ascii="Verdana" w:cs="Verdana" w:eastAsia="Verdana" w:hAnsi="Verdana"/>
                <w:sz w:val="16"/>
                <w:szCs w:val="16"/>
                <w:rtl w:val="0"/>
              </w:rPr>
              <w:delText xml:space="preserve">unsubscription</w:delText>
            </w:r>
          </w:del>
        </w:sdtContent>
      </w:sdt>
      <w:r w:rsidDel="00000000" w:rsidR="00000000" w:rsidRPr="00000000">
        <w:rPr>
          <w:rFonts w:ascii="Verdana" w:cs="Verdana" w:eastAsia="Verdana" w:hAnsi="Verdana"/>
          <w:sz w:val="16"/>
          <w:szCs w:val="16"/>
          <w:rtl w:val="0"/>
        </w:rPr>
        <w:t xml:space="preserve"> was announced.</w:t>
      </w:r>
      <w:r w:rsidDel="00000000" w:rsidR="00000000" w:rsidRPr="00000000">
        <w:rPr>
          <w:rtl w:val="0"/>
        </w:rPr>
      </w:r>
    </w:p>
    <w:sectPr>
      <w:pgSz w:h="16838" w:w="11906" w:orient="portrait"/>
      <w:pgMar w:bottom="1418" w:top="1418" w:left="1304"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0"/>
      <w:szCs w:val="20"/>
    </w:rPr>
  </w:style>
  <w:style w:type="paragraph" w:styleId="Heading2">
    <w:name w:val="heading 2"/>
    <w:basedOn w:val="Normal"/>
    <w:next w:val="Normal"/>
    <w:pPr>
      <w:keepNext w:val="1"/>
      <w:jc w:val="both"/>
    </w:pPr>
    <w:rPr>
      <w:b w:val="1"/>
      <w:bCs w:val="1"/>
      <w:sz w:val="16"/>
      <w:szCs w:val="1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Hypertextovodkaz">
    <w:name w:val="Hyperlink"/>
    <w:rPr>
      <w:color w:val="0000ff"/>
      <w:u w:val="single"/>
    </w:rPr>
  </w:style>
  <w:style w:type="paragraph" w:styleId="Zkladntext">
    <w:name w:val="Body Text"/>
    <w:basedOn w:val="Normln"/>
    <w:pPr>
      <w:jc w:val="both"/>
    </w:pPr>
    <w:rPr>
      <w:color w:val="0000ff"/>
      <w:sz w:val="18"/>
    </w:rPr>
  </w:style>
  <w:style w:type="character" w:styleId="UnresolvedMention1" w:customStyle="1">
    <w:name w:val="Unresolved Mention1"/>
    <w:uiPriority w:val="99"/>
    <w:semiHidden w:val="1"/>
    <w:unhideWhenUsed w:val="1"/>
    <w:rsid w:val="002B6484"/>
    <w:rPr>
      <w:color w:val="605e5c"/>
      <w:shd w:color="auto" w:fill="e1dfdd" w:val="clear"/>
    </w:rPr>
  </w:style>
  <w:style w:type="paragraph" w:styleId="Normlnweb">
    <w:name w:val="Normal (Web)"/>
    <w:basedOn w:val="Normln"/>
    <w:uiPriority w:val="99"/>
    <w:unhideWhenUsed w:val="1"/>
    <w:rsid w:val="00B12B7B"/>
    <w:pPr>
      <w:spacing w:after="100" w:afterAutospacing="1" w:before="100" w:beforeAutospacing="1"/>
    </w:pPr>
    <w:rPr>
      <w:rFonts w:ascii="Times New Roman" w:hAnsi="Times New Roman"/>
      <w:sz w:val="24"/>
    </w:rPr>
  </w:style>
  <w:style w:type="character" w:styleId="Siln">
    <w:name w:val="Strong"/>
    <w:uiPriority w:val="22"/>
    <w:qFormat w:val="1"/>
    <w:rsid w:val="00B12B7B"/>
    <w:rPr>
      <w:b w:val="1"/>
      <w:bCs w:val="1"/>
    </w:rPr>
  </w:style>
  <w:style w:type="character" w:styleId="Sledovanodkaz">
    <w:name w:val="FollowedHyperlink"/>
    <w:basedOn w:val="Standardnpsmoodstavce"/>
    <w:rsid w:val="001B11AB"/>
    <w:rPr>
      <w:color w:val="954f72" w:themeColor="followedHyperlink"/>
      <w:u w:val="single"/>
    </w:rPr>
  </w:style>
  <w:style w:type="paragraph" w:styleId="Zhlav">
    <w:name w:val="header"/>
    <w:basedOn w:val="Normln"/>
    <w:link w:val="ZhlavChar"/>
    <w:rsid w:val="00C00FC6"/>
    <w:pPr>
      <w:tabs>
        <w:tab w:val="center" w:pos="4536"/>
        <w:tab w:val="right" w:pos="9072"/>
      </w:tabs>
    </w:pPr>
  </w:style>
  <w:style w:type="character" w:styleId="ZhlavChar" w:customStyle="1">
    <w:name w:val="Záhlaví Char"/>
    <w:basedOn w:val="Standardnpsmoodstavce"/>
    <w:link w:val="Zhlav"/>
    <w:rsid w:val="00C00FC6"/>
    <w:rPr>
      <w:rFonts w:ascii="Arial" w:hAnsi="Arial"/>
      <w:sz w:val="22"/>
      <w:szCs w:val="24"/>
    </w:rPr>
  </w:style>
  <w:style w:type="paragraph" w:styleId="Zpat">
    <w:name w:val="footer"/>
    <w:basedOn w:val="Normln"/>
    <w:link w:val="ZpatChar"/>
    <w:rsid w:val="00C00FC6"/>
    <w:pPr>
      <w:tabs>
        <w:tab w:val="center" w:pos="4536"/>
        <w:tab w:val="right" w:pos="9072"/>
      </w:tabs>
    </w:pPr>
  </w:style>
  <w:style w:type="character" w:styleId="ZpatChar" w:customStyle="1">
    <w:name w:val="Zápatí Char"/>
    <w:basedOn w:val="Standardnpsmoodstavce"/>
    <w:link w:val="Zpat"/>
    <w:rsid w:val="00C00FC6"/>
    <w:rPr>
      <w:rFonts w:ascii="Arial" w:hAnsi="Arial"/>
      <w:sz w:val="22"/>
      <w:szCs w:val="24"/>
    </w:rPr>
  </w:style>
  <w:style w:type="paragraph" w:styleId="Revize">
    <w:name w:val="Revision"/>
    <w:hidden w:val="1"/>
    <w:uiPriority w:val="99"/>
    <w:semiHidden w:val="1"/>
    <w:rsid w:val="0010784B"/>
    <w:rPr>
      <w:rFonts w:ascii="Arial" w:hAnsi="Arial"/>
      <w:sz w:val="22"/>
      <w:szCs w:val="24"/>
    </w:rPr>
  </w:style>
  <w:style w:type="character" w:styleId="Nevyeenzmnka">
    <w:name w:val="Unresolved Mention"/>
    <w:basedOn w:val="Standardnpsmoodstavce"/>
    <w:uiPriority w:val="99"/>
    <w:semiHidden w:val="1"/>
    <w:unhideWhenUsed w:val="1"/>
    <w:rsid w:val="009A6B0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oplatky.ceskatelevize.cz/gdpr" TargetMode="External"/><Relationship Id="rId10" Type="http://schemas.openxmlformats.org/officeDocument/2006/relationships/hyperlink" Target="mailto:osobniudaje@ceskatelevize.cz" TargetMode="External"/><Relationship Id="rId9" Type="http://schemas.openxmlformats.org/officeDocument/2006/relationships/hyperlink" Target="mailto:osobniudaje@ceskatelevize.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oplatky@ceskatelevize.cz" TargetMode="External"/><Relationship Id="rId8" Type="http://schemas.openxmlformats.org/officeDocument/2006/relationships/hyperlink" Target="http://www.ceskatelevize.cz/poplat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cIqXrktBkn2yaD83Z+O9A4Z4Q==">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2026-01-16T12:33:00Z</dcterms:created>
  <dc:creator>vd221932</dc:creator>
</cp:coreProperties>
</file>